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9D36D" w14:textId="5DF82068" w:rsidR="00211112" w:rsidRPr="00211112" w:rsidRDefault="00211112" w:rsidP="00211112">
      <w:pPr>
        <w:shd w:val="clear" w:color="auto" w:fill="FFFFFF"/>
        <w:spacing w:before="75" w:after="150" w:line="375" w:lineRule="atLeast"/>
        <w:jc w:val="center"/>
        <w:outlineLvl w:val="3"/>
        <w:rPr>
          <w:rFonts w:ascii="Open Sans" w:eastAsia="Times New Roman" w:hAnsi="Open Sans" w:cs="Open Sans"/>
          <w:color w:val="585F69"/>
          <w:sz w:val="27"/>
          <w:szCs w:val="27"/>
          <w:lang w:eastAsia="pt-PT"/>
        </w:rPr>
      </w:pPr>
      <w:r w:rsidRPr="00211112">
        <w:rPr>
          <w:rFonts w:ascii="Open Sans" w:eastAsia="Times New Roman" w:hAnsi="Open Sans" w:cs="Open Sans"/>
          <w:b/>
          <w:bCs/>
          <w:color w:val="800000"/>
          <w:sz w:val="27"/>
          <w:szCs w:val="27"/>
          <w:lang w:eastAsia="pt-PT"/>
        </w:rPr>
        <w:t>REGIME ESPECIAL DE AVALIAÇÃO</w:t>
      </w:r>
    </w:p>
    <w:p w14:paraId="5E30FE39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5" w:anchor="collapse-43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A quem se aplica o regime especial de avaliação?</w:t>
        </w:r>
      </w:hyperlink>
    </w:p>
    <w:p w14:paraId="1895B3D7" w14:textId="77777777" w:rsidR="00211112" w:rsidRPr="00211112" w:rsidRDefault="00211112" w:rsidP="00211112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Aplicável a docentes:</w:t>
      </w:r>
    </w:p>
    <w:p w14:paraId="4220FE7F" w14:textId="77777777" w:rsidR="00211112" w:rsidRPr="00211112" w:rsidRDefault="00211112" w:rsidP="0021111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Posicionados no 8.º escalão, desde que, nas avaliações efetuadas ao abrigo de legislação anterior à data de entrada em vigor do </w:t>
      </w:r>
      <w:hyperlink r:id="rId6" w:tgtFrame="_blank" w:history="1">
        <w:r w:rsidRPr="00211112">
          <w:rPr>
            <w:rFonts w:ascii="Helvetica Neue" w:eastAsia="Times New Roman" w:hAnsi="Helvetica Neue" w:cs="Times New Roman"/>
            <w:color w:val="3366FF"/>
            <w:sz w:val="23"/>
            <w:szCs w:val="23"/>
            <w:u w:val="single"/>
            <w:lang w:eastAsia="pt-PT"/>
          </w:rPr>
          <w:t>Decreto-Lei n.º 15/2007</w:t>
        </w:r>
      </w:hyperlink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, de 19 de Janeiro, tenham obtido a classificação de pelo menos Satisfaz e que, nos termos do </w:t>
      </w:r>
      <w:hyperlink r:id="rId7" w:tgtFrame="_blank" w:history="1">
        <w:r w:rsidRPr="00211112">
          <w:rPr>
            <w:rFonts w:ascii="Helvetica Neue" w:eastAsia="Times New Roman" w:hAnsi="Helvetica Neue" w:cs="Times New Roman"/>
            <w:color w:val="3366FF"/>
            <w:sz w:val="23"/>
            <w:szCs w:val="23"/>
            <w:u w:val="single"/>
            <w:lang w:eastAsia="pt-PT"/>
          </w:rPr>
          <w:t>Decreto Regulamentar n.º 26/2012</w:t>
        </w:r>
      </w:hyperlink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, tenham obtido pelo menos a classificação de Bom;</w:t>
      </w:r>
    </w:p>
    <w:p w14:paraId="06D01B3E" w14:textId="77777777" w:rsidR="00211112" w:rsidRPr="00211112" w:rsidRDefault="00211112" w:rsidP="0021111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Posicionados no 9.º e 10.º escalões;</w:t>
      </w:r>
    </w:p>
    <w:p w14:paraId="78B1C979" w14:textId="77777777" w:rsidR="00211112" w:rsidRPr="00211112" w:rsidRDefault="00211112" w:rsidP="0021111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Que exerçam as funções de Subdiretor, Adjunto, Assessor de Direção, Coordenador de Departamento Curricular e o Avaliador por este designado.</w:t>
      </w:r>
    </w:p>
    <w:p w14:paraId="578B30C0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8" w:anchor="collapse-44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De que forma estes docentes são avaliados?</w:t>
        </w:r>
      </w:hyperlink>
    </w:p>
    <w:p w14:paraId="11DA1117" w14:textId="77777777" w:rsidR="00211112" w:rsidRPr="00211112" w:rsidRDefault="00211112" w:rsidP="00211112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Os docentes </w:t>
      </w:r>
      <w:r w:rsidRPr="00211112">
        <w:rPr>
          <w:rFonts w:ascii="Helvetica Neue" w:eastAsia="Times New Roman" w:hAnsi="Helvetica Neue" w:cs="Times New Roman"/>
          <w:b/>
          <w:bCs/>
          <w:color w:val="555555"/>
          <w:sz w:val="23"/>
          <w:szCs w:val="23"/>
          <w:lang w:eastAsia="pt-PT"/>
        </w:rPr>
        <w:t>posicionados nos 8.º e 9.º escalões:</w:t>
      </w:r>
    </w:p>
    <w:p w14:paraId="75CE62F0" w14:textId="77777777" w:rsidR="00211112" w:rsidRPr="00211112" w:rsidRDefault="00211112" w:rsidP="0021111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Entregam um único relatório de autoavaliação no final do ano escolar anterior ao do fim do ciclo avaliativo;</w:t>
      </w:r>
    </w:p>
    <w:p w14:paraId="09B68B40" w14:textId="77777777" w:rsidR="00211112" w:rsidRPr="00211112" w:rsidRDefault="00211112" w:rsidP="0021111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Este deverá ter um máximo de 6 páginas, não lhe podendo ser anexados documentos;</w:t>
      </w:r>
    </w:p>
    <w:p w14:paraId="3B08C5AE" w14:textId="447BEB78" w:rsidR="00211112" w:rsidRPr="00211112" w:rsidRDefault="00211112" w:rsidP="0021111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Reporta-se ao trabalho efetuado durante esse</w:t>
      </w:r>
      <w:r w:rsidR="003A4A87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s</w:t>
      </w: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 xml:space="preserve"> anos escolares de permanência no escalão.</w:t>
      </w:r>
    </w:p>
    <w:p w14:paraId="5A947D39" w14:textId="77777777" w:rsidR="00211112" w:rsidRPr="00211112" w:rsidRDefault="00211112" w:rsidP="00211112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Os docentes </w:t>
      </w:r>
      <w:r w:rsidRPr="00211112">
        <w:rPr>
          <w:rFonts w:ascii="Helvetica Neue" w:eastAsia="Times New Roman" w:hAnsi="Helvetica Neue" w:cs="Times New Roman"/>
          <w:b/>
          <w:bCs/>
          <w:color w:val="555555"/>
          <w:sz w:val="23"/>
          <w:szCs w:val="23"/>
          <w:lang w:eastAsia="pt-PT"/>
        </w:rPr>
        <w:t>posicionados no 10.º escalão:</w:t>
      </w:r>
    </w:p>
    <w:p w14:paraId="0D94EBD2" w14:textId="77777777" w:rsidR="00211112" w:rsidRPr="00211112" w:rsidRDefault="00211112" w:rsidP="0021111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Entregam o relatório de autoavaliação quadrienalmente;</w:t>
      </w:r>
    </w:p>
    <w:p w14:paraId="25279149" w14:textId="77777777" w:rsidR="00211112" w:rsidRPr="00211112" w:rsidRDefault="00211112" w:rsidP="0021111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Este deverá ter um máximo de 6 páginas, não lhe podendo ser anexados documentos;</w:t>
      </w:r>
    </w:p>
    <w:p w14:paraId="79FD679F" w14:textId="77777777" w:rsidR="00211112" w:rsidRPr="00211112" w:rsidRDefault="00211112" w:rsidP="0021111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Reporta-se ao trabalho efetuado durante esses 4 anos.</w:t>
      </w:r>
    </w:p>
    <w:p w14:paraId="097D3141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9" w:anchor="collapse-45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Aplica-se alguma penalização caso o docente não entregue o relatório de autoavaliação?</w:t>
        </w:r>
      </w:hyperlink>
    </w:p>
    <w:p w14:paraId="22D75312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10" w:anchor="collapse-46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Quem avalia estes docentes?</w:t>
        </w:r>
      </w:hyperlink>
    </w:p>
    <w:p w14:paraId="399AA5D1" w14:textId="77777777" w:rsidR="00211112" w:rsidRPr="00211112" w:rsidRDefault="00211112" w:rsidP="00211112">
      <w:pPr>
        <w:shd w:val="clear" w:color="auto" w:fill="FFFFFF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O relatório de autoavaliação é avaliado pelo Diretor, após parecer emitido pela SADD, considerando o trabalho docente desenvolvido nas dimensões de Participação na escola e relação com a comunidade e Formação contínua e desenvolvimento profissional.</w:t>
      </w:r>
    </w:p>
    <w:p w14:paraId="7CD81951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11" w:anchor="collapse-47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De que forma é apurada a classificação final?</w:t>
        </w:r>
      </w:hyperlink>
    </w:p>
    <w:p w14:paraId="095022D4" w14:textId="77777777" w:rsidR="00211112" w:rsidRPr="00211112" w:rsidRDefault="00211112" w:rsidP="00211112">
      <w:pPr>
        <w:shd w:val="clear" w:color="auto" w:fill="FFFFFF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A classificação final do relatório de autoavaliação corresponde ao resultado da média aritmética simples das pontuações obtidas nas dimensões de Participação na escola e relação com a comunidade e Formação contínua e desenvolvimento profissional.</w:t>
      </w:r>
    </w:p>
    <w:p w14:paraId="6254CFCB" w14:textId="77777777" w:rsidR="00211112" w:rsidRPr="00211112" w:rsidRDefault="003A4A87" w:rsidP="00211112">
      <w:pPr>
        <w:shd w:val="clear" w:color="auto" w:fill="F5F5F5"/>
        <w:spacing w:line="375" w:lineRule="atLeast"/>
        <w:outlineLvl w:val="3"/>
        <w:rPr>
          <w:rFonts w:ascii="Open Sans" w:eastAsia="Times New Roman" w:hAnsi="Open Sans" w:cs="Open Sans"/>
          <w:color w:val="333333"/>
          <w:lang w:eastAsia="pt-PT"/>
        </w:rPr>
      </w:pPr>
      <w:hyperlink r:id="rId12" w:anchor="collapse-48" w:history="1">
        <w:r w:rsidR="00211112" w:rsidRPr="00211112">
          <w:rPr>
            <w:rFonts w:ascii="Open Sans" w:eastAsia="Times New Roman" w:hAnsi="Open Sans" w:cs="Open Sans"/>
            <w:b/>
            <w:bCs/>
            <w:color w:val="3498DB"/>
            <w:u w:val="single"/>
            <w:lang w:eastAsia="pt-PT"/>
          </w:rPr>
          <w:t>Os docentes avaliados pelo regime especial de avaliação podem aceder às menções de Muito Bom ou Excelente?</w:t>
        </w:r>
      </w:hyperlink>
    </w:p>
    <w:p w14:paraId="6AB48219" w14:textId="77777777" w:rsidR="00211112" w:rsidRPr="00211112" w:rsidRDefault="00211112" w:rsidP="00211112">
      <w:pPr>
        <w:shd w:val="clear" w:color="auto" w:fill="FFFFFF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b/>
          <w:bCs/>
          <w:color w:val="555555"/>
          <w:sz w:val="23"/>
          <w:szCs w:val="23"/>
          <w:lang w:eastAsia="pt-PT"/>
        </w:rPr>
        <w:t>Não.</w:t>
      </w: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 A obtenção da menção de Muito Bom ou Excelente implica a sujeição ao regime geral de avaliação do desempenho, sendo que todos os docentes podem fazer essa opção. Mas terão de a fazer no início do ciclo avaliativo, já que a sujeição ao regime geral implica a entrega anual de relatórios de autoavaliação.</w:t>
      </w:r>
    </w:p>
    <w:p w14:paraId="29EFF3BE" w14:textId="77777777" w:rsidR="00211112" w:rsidRPr="00211112" w:rsidRDefault="00211112" w:rsidP="00211112">
      <w:pPr>
        <w:shd w:val="clear" w:color="auto" w:fill="FFFFFF"/>
        <w:spacing w:after="150"/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</w:pPr>
      <w:r w:rsidRPr="00211112">
        <w:rPr>
          <w:rFonts w:ascii="Helvetica Neue" w:eastAsia="Times New Roman" w:hAnsi="Helvetica Neue" w:cs="Times New Roman"/>
          <w:color w:val="555555"/>
          <w:sz w:val="23"/>
          <w:szCs w:val="23"/>
          <w:lang w:eastAsia="pt-PT"/>
        </w:rPr>
        <w:t> </w:t>
      </w:r>
    </w:p>
    <w:p w14:paraId="2523E44A" w14:textId="77777777" w:rsidR="009A3E26" w:rsidRDefault="003A4A87"/>
    <w:sectPr w:rsidR="009A3E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57B38"/>
    <w:multiLevelType w:val="multilevel"/>
    <w:tmpl w:val="E1C8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E735E"/>
    <w:multiLevelType w:val="multilevel"/>
    <w:tmpl w:val="435E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4D37E4"/>
    <w:multiLevelType w:val="multilevel"/>
    <w:tmpl w:val="A678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44370"/>
    <w:multiLevelType w:val="multilevel"/>
    <w:tmpl w:val="CB6E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F261FB"/>
    <w:multiLevelType w:val="multilevel"/>
    <w:tmpl w:val="5418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277993">
    <w:abstractNumId w:val="3"/>
  </w:num>
  <w:num w:numId="2" w16cid:durableId="718019208">
    <w:abstractNumId w:val="4"/>
  </w:num>
  <w:num w:numId="3" w16cid:durableId="636687353">
    <w:abstractNumId w:val="1"/>
  </w:num>
  <w:num w:numId="4" w16cid:durableId="305547873">
    <w:abstractNumId w:val="0"/>
  </w:num>
  <w:num w:numId="5" w16cid:durableId="719480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12"/>
    <w:rsid w:val="00211112"/>
    <w:rsid w:val="003A4A87"/>
    <w:rsid w:val="0065749B"/>
    <w:rsid w:val="006B533A"/>
    <w:rsid w:val="0091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BE2FC4"/>
  <w15:chartTrackingRefBased/>
  <w15:docId w15:val="{B0548907-1D15-ED4C-BF59-670396A4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ter"/>
    <w:uiPriority w:val="9"/>
    <w:qFormat/>
    <w:rsid w:val="0021111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arter">
    <w:name w:val="Título 4 Caráter"/>
    <w:basedOn w:val="Tipodeletrapredefinidodopargrafo"/>
    <w:link w:val="Ttulo4"/>
    <w:uiPriority w:val="9"/>
    <w:rsid w:val="00211112"/>
    <w:rPr>
      <w:rFonts w:ascii="Times New Roman" w:eastAsia="Times New Roman" w:hAnsi="Times New Roman" w:cs="Times New Roman"/>
      <w:b/>
      <w:bCs/>
      <w:lang w:eastAsia="pt-PT"/>
    </w:rPr>
  </w:style>
  <w:style w:type="character" w:styleId="Forte">
    <w:name w:val="Strong"/>
    <w:basedOn w:val="Tipodeletrapredefinidodopargrafo"/>
    <w:uiPriority w:val="22"/>
    <w:qFormat/>
    <w:rsid w:val="00211112"/>
    <w:rPr>
      <w:b/>
      <w:bCs/>
    </w:rPr>
  </w:style>
  <w:style w:type="character" w:styleId="Hiperligao">
    <w:name w:val="Hyperlink"/>
    <w:basedOn w:val="Tipodeletrapredefinidodopargrafo"/>
    <w:uiPriority w:val="99"/>
    <w:semiHidden/>
    <w:unhideWhenUsed/>
    <w:rsid w:val="002111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111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33038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791778064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  <w:div w:id="600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03575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285067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86562344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  <w:div w:id="25686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72223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12084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13071513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</w:divsChild>
        </w:div>
        <w:div w:id="1724212537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93595771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  <w:div w:id="18055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79848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705521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26131612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  <w:div w:id="950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746670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7947">
          <w:marLeft w:val="0"/>
          <w:marRight w:val="0"/>
          <w:marTop w:val="0"/>
          <w:marBottom w:val="30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702973839">
              <w:marLeft w:val="0"/>
              <w:marRight w:val="0"/>
              <w:marTop w:val="0"/>
              <w:marBottom w:val="0"/>
              <w:divBdr>
                <w:top w:val="none" w:sz="0" w:space="4" w:color="DDDDDD"/>
                <w:left w:val="none" w:sz="0" w:space="11" w:color="DDDDDD"/>
                <w:bottom w:val="single" w:sz="6" w:space="4" w:color="DDDDDD"/>
                <w:right w:val="none" w:sz="0" w:space="11" w:color="DDDDDD"/>
              </w:divBdr>
            </w:div>
            <w:div w:id="17946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216">
                  <w:marLeft w:val="0"/>
                  <w:marRight w:val="0"/>
                  <w:marTop w:val="0"/>
                  <w:marBottom w:val="0"/>
                  <w:divBdr>
                    <w:top w:val="none" w:sz="0" w:space="11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n.pt/Artigo/ADD_carreir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e.pt/application/conteudo/542995" TargetMode="External"/><Relationship Id="rId12" Type="http://schemas.openxmlformats.org/officeDocument/2006/relationships/hyperlink" Target="https://www.spn.pt/Artigo/ADD_carrei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e.pt/application/conteudo/522638" TargetMode="External"/><Relationship Id="rId11" Type="http://schemas.openxmlformats.org/officeDocument/2006/relationships/hyperlink" Target="https://www.spn.pt/Artigo/ADD_carreira" TargetMode="External"/><Relationship Id="rId5" Type="http://schemas.openxmlformats.org/officeDocument/2006/relationships/hyperlink" Target="https://www.spn.pt/Artigo/ADD_carreira" TargetMode="External"/><Relationship Id="rId10" Type="http://schemas.openxmlformats.org/officeDocument/2006/relationships/hyperlink" Target="https://www.spn.pt/Artigo/ADD_carrei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pn.pt/Artigo/ADD_carreir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446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santos</dc:creator>
  <cp:keywords/>
  <dc:description/>
  <cp:lastModifiedBy>isabel santos</cp:lastModifiedBy>
  <cp:revision>3</cp:revision>
  <dcterms:created xsi:type="dcterms:W3CDTF">2021-11-26T17:26:00Z</dcterms:created>
  <dcterms:modified xsi:type="dcterms:W3CDTF">2022-06-06T17:02:00Z</dcterms:modified>
</cp:coreProperties>
</file>